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2A" w:rsidRDefault="004D46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</w:pPr>
    </w:p>
    <w:p w:rsidR="004D462A" w:rsidRDefault="005E7BD6">
      <w:pPr>
        <w:spacing w:after="0"/>
        <w:jc w:val="both"/>
        <w:rPr>
          <w:b/>
        </w:rPr>
      </w:pPr>
      <w:r>
        <w:rPr>
          <w:b/>
        </w:rPr>
        <w:t xml:space="preserve">2022 m. Baltic Karting Academy taurė. </w:t>
      </w:r>
    </w:p>
    <w:p w:rsidR="004D462A" w:rsidRDefault="005E7BD6" w:rsidP="00DD5EA2">
      <w:pPr>
        <w:spacing w:after="0"/>
        <w:jc w:val="both"/>
      </w:pPr>
      <w:r>
        <w:rPr>
          <w:b/>
        </w:rPr>
        <w:t>2022-03-10</w:t>
      </w:r>
      <w:r>
        <w:rPr>
          <w:noProof/>
        </w:rPr>
        <mc:AlternateContent>
          <mc:Choice Requires="wpg">
            <w:drawing>
              <wp:inline distT="0" distB="0" distL="0" distR="0">
                <wp:extent cx="5766816" cy="6096"/>
                <wp:effectExtent l="0" t="0" r="0" b="0"/>
                <wp:docPr id="2100" name="Group 2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816" cy="6096"/>
                          <a:chOff x="2462592" y="3776952"/>
                          <a:chExt cx="5766816" cy="9144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462592" y="3776952"/>
                            <a:ext cx="5766816" cy="9144"/>
                            <a:chOff x="0" y="0"/>
                            <a:chExt cx="5766816" cy="9144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576680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D462A" w:rsidRDefault="004D462A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 3"/>
                          <wps:cNvSpPr/>
                          <wps:spPr>
                            <a:xfrm>
                              <a:off x="0" y="0"/>
                              <a:ext cx="5766816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66816" h="9144" extrusionOk="0">
                                  <a:moveTo>
                                    <a:pt x="0" y="0"/>
                                  </a:moveTo>
                                  <a:lnTo>
                                    <a:pt x="5766816" y="0"/>
                                  </a:lnTo>
                                  <a:lnTo>
                                    <a:pt x="57668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66816" cy="6096"/>
                <wp:effectExtent b="0" l="0" r="0" t="0"/>
                <wp:docPr id="210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6816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4D462A" w:rsidRDefault="005E7BD6">
      <w:pPr>
        <w:spacing w:after="156"/>
        <w:jc w:val="both"/>
      </w:pPr>
      <w:r>
        <w:rPr>
          <w:b/>
        </w:rPr>
        <w:t xml:space="preserve">BRIGGS JUNIOR, SENIOR IR MASTER </w:t>
      </w:r>
      <w:r>
        <w:t xml:space="preserve">kategorijų techniniai reikalavimai. </w:t>
      </w:r>
    </w:p>
    <w:p w:rsidR="004D462A" w:rsidRDefault="005E7BD6">
      <w:pPr>
        <w:spacing w:after="160"/>
        <w:ind w:left="0" w:firstLine="0"/>
        <w:jc w:val="both"/>
      </w:pPr>
      <w:r>
        <w:t xml:space="preserve"> Šiuose reikalavimuose pateikiami tik pagrindiniai šios kategorijos techniniai reikalavimai. </w:t>
      </w:r>
    </w:p>
    <w:p w:rsidR="004D462A" w:rsidRDefault="004D462A">
      <w:pPr>
        <w:ind w:left="0" w:firstLine="0"/>
        <w:jc w:val="both"/>
      </w:pPr>
    </w:p>
    <w:p w:rsidR="004D462A" w:rsidRDefault="005E7BD6">
      <w:pPr>
        <w:numPr>
          <w:ilvl w:val="0"/>
          <w:numId w:val="1"/>
        </w:numPr>
        <w:spacing w:after="1"/>
        <w:jc w:val="both"/>
      </w:pPr>
      <w:r>
        <w:rPr>
          <w:b/>
        </w:rPr>
        <w:t xml:space="preserve">Važiuoklė. 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rPr>
          <w:b/>
        </w:rPr>
        <w:t xml:space="preserve">JUNIOR </w:t>
      </w:r>
      <w:r>
        <w:t>–</w:t>
      </w:r>
      <w:r>
        <w:rPr>
          <w:b/>
        </w:rPr>
        <w:t xml:space="preserve"> </w:t>
      </w:r>
      <w:r>
        <w:t xml:space="preserve">CRG FS4, </w:t>
      </w:r>
      <w:r>
        <w:rPr>
          <w:b/>
        </w:rPr>
        <w:t xml:space="preserve">SENIOR/MASTER </w:t>
      </w:r>
      <w:r>
        <w:t>– CRG FS4 arba laisva. CRG FS4 važiuoklė privalo būti įsigyta iš organizatoriaus arba privalo praeiti organizatoriaus atitikties patikrą.</w:t>
      </w:r>
    </w:p>
    <w:p w:rsidR="004D462A" w:rsidRDefault="005E7BD6">
      <w:pPr>
        <w:numPr>
          <w:ilvl w:val="1"/>
          <w:numId w:val="1"/>
        </w:numPr>
        <w:ind w:hanging="587"/>
        <w:jc w:val="both"/>
        <w:rPr>
          <w:b/>
        </w:rPr>
      </w:pPr>
      <w:r>
        <w:t xml:space="preserve">Privalomas </w:t>
      </w:r>
      <w:r>
        <w:rPr>
          <w:b/>
        </w:rPr>
        <w:t xml:space="preserve">kėbulas: priekinė panelė, priekinis bamperis, šoniniai spoileriai, galinis bamperis. 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rPr>
          <w:b/>
        </w:rPr>
        <w:t>Naudoja</w:t>
      </w:r>
      <w:r>
        <w:rPr>
          <w:b/>
        </w:rPr>
        <w:t>mi „krentančio“ priekinio</w:t>
      </w:r>
      <w:r>
        <w:t xml:space="preserve"> bamperio laikikliai.</w:t>
      </w:r>
    </w:p>
    <w:p w:rsidR="004D462A" w:rsidRDefault="005E7BD6">
      <w:pPr>
        <w:numPr>
          <w:ilvl w:val="1"/>
          <w:numId w:val="1"/>
        </w:numPr>
        <w:spacing w:after="1"/>
        <w:ind w:hanging="587"/>
        <w:jc w:val="both"/>
      </w:pPr>
      <w:r>
        <w:t>Važiuoklės maksimalus plotis:</w:t>
      </w:r>
      <w:r>
        <w:rPr>
          <w:b/>
        </w:rPr>
        <w:t xml:space="preserve"> </w:t>
      </w:r>
      <w:r>
        <w:t>1400 mm.</w:t>
      </w:r>
      <w:r>
        <w:rPr>
          <w:b/>
        </w:rPr>
        <w:t xml:space="preserve"> 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 xml:space="preserve">Stabdžiai tik galinei ašiai, </w:t>
      </w:r>
      <w:r>
        <w:rPr>
          <w:b/>
        </w:rPr>
        <w:t>JUNIOR</w:t>
      </w:r>
      <w:r>
        <w:t xml:space="preserve">– hidrauliniai (Mini Cadet, CRG), </w:t>
      </w:r>
      <w:r>
        <w:rPr>
          <w:b/>
        </w:rPr>
        <w:t xml:space="preserve">SENIOR/MASTER </w:t>
      </w:r>
      <w:r>
        <w:t xml:space="preserve">– hidrauliniai (FS4 važiuoklės atveju – CRG). 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>Visos FS4 važiuoklės dalys privalo išli</w:t>
      </w:r>
      <w:r>
        <w:t xml:space="preserve">kti </w:t>
      </w:r>
      <w:r>
        <w:t>originalios</w:t>
      </w:r>
      <w:r>
        <w:t>. ( CRG, T-group žymėjimais)</w:t>
      </w:r>
      <w:r>
        <w:t>.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>CRG FS4 važiuoklės galinės ašies kietumas - M20.</w:t>
      </w:r>
    </w:p>
    <w:p w:rsidR="004D462A" w:rsidRDefault="004D462A">
      <w:pPr>
        <w:ind w:left="1281" w:firstLine="0"/>
        <w:jc w:val="both"/>
      </w:pPr>
      <w:bookmarkStart w:id="0" w:name="_GoBack"/>
      <w:bookmarkEnd w:id="0"/>
    </w:p>
    <w:p w:rsidR="004D462A" w:rsidRDefault="005E7BD6">
      <w:pPr>
        <w:numPr>
          <w:ilvl w:val="0"/>
          <w:numId w:val="1"/>
        </w:numPr>
        <w:spacing w:after="1"/>
        <w:jc w:val="both"/>
      </w:pPr>
      <w:r>
        <w:rPr>
          <w:b/>
        </w:rPr>
        <w:t xml:space="preserve">Variklis. 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 xml:space="preserve">Briggs &amp; Stratton 206 „Animal“ įgyjamas tik iš organizatoriaus ir privalo būti įtrauktas į organizatoriaus registrą. 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>Oru aušinamas Briggs &amp; Stratton</w:t>
      </w:r>
      <w:r>
        <w:t xml:space="preserve"> 206 „Animal“ su gamintojo bei organizatoriaus plomba atitinkantis gamintojo reikalavimus, techninius brėžinius bei foto nuotraukas. 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 xml:space="preserve">Maksimalūs variklio sūkiai ribojami iki 6100 rpm. 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>Karbiuratorius Briggs &amp; Stratton original LO206 (detalės numeris 555658</w:t>
      </w:r>
      <w:r>
        <w:t xml:space="preserve">). 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>Pagrindinis purkštukas (</w:t>
      </w:r>
      <w:r>
        <w:rPr>
          <w:b/>
        </w:rPr>
        <w:t xml:space="preserve">žikliorius </w:t>
      </w:r>
      <w:r>
        <w:rPr>
          <w:b/>
        </w:rPr>
        <w:t>0.9 mm</w:t>
      </w:r>
      <w:r>
        <w:t xml:space="preserve">) Briggs &amp; Stratton original LO206. 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 xml:space="preserve">Kuro pompa (vakuuminė) – Briggs &amp; stratton Fuell pump. 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>Uždegimo žvakė</w:t>
      </w:r>
      <w:r>
        <w:rPr>
          <w:b/>
        </w:rPr>
        <w:t xml:space="preserve"> </w:t>
      </w:r>
      <w:r>
        <w:t>– Briggs&amp;Stratton</w:t>
      </w:r>
      <w:r>
        <w:rPr>
          <w:b/>
        </w:rPr>
        <w:t xml:space="preserve"> 0,7 mm </w:t>
      </w:r>
      <w:r>
        <w:t>tarpu.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 xml:space="preserve">Užvedimas – rankinis su virve. 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 xml:space="preserve">Išmetimo sistema: </w:t>
      </w:r>
      <w:r>
        <w:rPr>
          <w:b/>
        </w:rPr>
        <w:t xml:space="preserve">JUNIOR </w:t>
      </w:r>
      <w:r>
        <w:t xml:space="preserve">– Stock CRG, </w:t>
      </w:r>
      <w:r>
        <w:rPr>
          <w:b/>
        </w:rPr>
        <w:t>S</w:t>
      </w:r>
      <w:r>
        <w:rPr>
          <w:b/>
        </w:rPr>
        <w:t xml:space="preserve">ENIOR/MASTER </w:t>
      </w:r>
      <w:r>
        <w:t xml:space="preserve">– FS4 važiuoklės atveju Stock CRG, kitos važiuoklės – Briggs &amp; Stratton Exhaust Racing kit 206. 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>Oro filtras – Green Racing Air Filter, negali būti purškiamas tepalu.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 xml:space="preserve">Variklio cilindro blokas privalo būti užplombuotas gamintojo plomba. 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>Varikl</w:t>
      </w:r>
      <w:r>
        <w:t xml:space="preserve">io cilindro galvutė privalo būti užplombuota organizatoriaus plomba. 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>Organizatoriui pareikalavus, variklis ar variklio komponentai privalo būti atiduoti organizatoriui papildomai patikrai, gaunant pakaitinius komponentus (jei organizatorius pasiima patikr</w:t>
      </w:r>
      <w:r>
        <w:t>ai ilgesniam laikui).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>Variklis gali būti tikrinamas/išardomas po finišo, kilus įtarimams pasiliekamas detalesnei patikrai.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>Variklis privalo turėti ,,Ekobakelį‘‘ ir į bakelį turi būti nuvesta variklio alsuoklio žarnelė.</w:t>
      </w:r>
    </w:p>
    <w:p w:rsidR="004D462A" w:rsidRDefault="004D462A">
      <w:pPr>
        <w:ind w:left="1281" w:firstLine="0"/>
        <w:jc w:val="both"/>
      </w:pPr>
    </w:p>
    <w:p w:rsidR="004D462A" w:rsidRDefault="005E7BD6">
      <w:pPr>
        <w:numPr>
          <w:ilvl w:val="0"/>
          <w:numId w:val="1"/>
        </w:numPr>
        <w:spacing w:after="1"/>
        <w:jc w:val="both"/>
      </w:pPr>
      <w:r>
        <w:rPr>
          <w:b/>
        </w:rPr>
        <w:t xml:space="preserve">Komponentai. 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 xml:space="preserve">Sankaba – Hilliard Flame Racing Cluth (Briggs &amp; Stratton). </w:t>
      </w:r>
    </w:p>
    <w:p w:rsidR="004D462A" w:rsidRDefault="004D462A">
      <w:pPr>
        <w:ind w:left="1281" w:firstLine="0"/>
        <w:jc w:val="both"/>
      </w:pPr>
    </w:p>
    <w:p w:rsidR="004D462A" w:rsidRDefault="005E7BD6">
      <w:pPr>
        <w:numPr>
          <w:ilvl w:val="0"/>
          <w:numId w:val="1"/>
        </w:numPr>
        <w:spacing w:after="1"/>
        <w:jc w:val="both"/>
      </w:pPr>
      <w:r>
        <w:rPr>
          <w:b/>
        </w:rPr>
        <w:t xml:space="preserve">Kuras, alyva. 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 xml:space="preserve">Kuras – E95, tiekiamas organizatoriaus arba įsigyjamas komercinėse degalinėse. 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>Alyva – laisva. Rekomenduojama Briggs &amp; Stratton Racing Oil, rekomenduojama įsigyti pas organizator</w:t>
      </w:r>
      <w:r>
        <w:t xml:space="preserve">ių. 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>Pareikalavus galimimas kuro mėginio ėmimas po finišo. Minimalus kuro bako likutis po finišo 200ml.</w:t>
      </w:r>
    </w:p>
    <w:p w:rsidR="004D462A" w:rsidRDefault="004D462A">
      <w:pPr>
        <w:ind w:left="1281" w:firstLine="0"/>
        <w:jc w:val="both"/>
      </w:pPr>
      <w:bookmarkStart w:id="1" w:name="_heading=h.gjdgxs" w:colFirst="0" w:colLast="0"/>
      <w:bookmarkEnd w:id="1"/>
    </w:p>
    <w:p w:rsidR="004D462A" w:rsidRDefault="005E7BD6">
      <w:pPr>
        <w:numPr>
          <w:ilvl w:val="0"/>
          <w:numId w:val="1"/>
        </w:numPr>
        <w:spacing w:after="1"/>
        <w:jc w:val="both"/>
      </w:pPr>
      <w:r>
        <w:rPr>
          <w:b/>
        </w:rPr>
        <w:t xml:space="preserve">Pavara. 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 xml:space="preserve">Vedančioji žvaigždutė – 19 dantų skaičius. 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>Vedančios žvaigždutės gamintojas Briggs &amp; Stratton.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 xml:space="preserve">Galinė žvaigždutė 68 dantų skaičius. 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 xml:space="preserve">Galinės </w:t>
      </w:r>
      <w:r>
        <w:t xml:space="preserve">žvaigždutės gamintojas laisvas.  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>Pavaros grandinė privalo būti su O-ring. Rekomenduojama isigyti pas organizatorių.</w:t>
      </w:r>
    </w:p>
    <w:p w:rsidR="004D462A" w:rsidRDefault="004D462A">
      <w:pPr>
        <w:ind w:left="1281" w:firstLine="0"/>
        <w:jc w:val="both"/>
      </w:pPr>
    </w:p>
    <w:p w:rsidR="004D462A" w:rsidRDefault="005E7BD6">
      <w:pPr>
        <w:numPr>
          <w:ilvl w:val="0"/>
          <w:numId w:val="1"/>
        </w:numPr>
        <w:spacing w:after="1"/>
        <w:jc w:val="both"/>
      </w:pPr>
      <w:r>
        <w:rPr>
          <w:b/>
        </w:rPr>
        <w:t xml:space="preserve">Padangos. 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>Slick (sausai dangai) organizatoriaus pasirinkimu, įsigyjamos tik iš organizatoriaus.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>Slick (šlapiai dangai) organizatoriaus pa</w:t>
      </w:r>
      <w:r>
        <w:t>sirinkimu, įsigyjamos tik iš organizatoriaus. Organizatorius papildomu biuleteniu gali nuspręsti naudoti lietaus padangas (šlapiai dangai), kurios įsigyjamos tik iš organizatoriaus.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>Vienam etapui galima panaudoti vieną komplektą padangų, esant reikalui vie</w:t>
      </w:r>
      <w:r>
        <w:t>ną padangą galima pakeisti, prieš tai parodant organizatoriui.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>Prieš pirmą etapą  privaloma įsigyti po vieną komplektą sausai ir šlapiai dangai skirtų</w:t>
      </w:r>
      <w:r>
        <w:rPr>
          <w:b/>
        </w:rPr>
        <w:t xml:space="preserve"> padangų</w:t>
      </w:r>
      <w:r>
        <w:t>.</w:t>
      </w:r>
    </w:p>
    <w:p w:rsidR="004D462A" w:rsidRDefault="004D462A">
      <w:pPr>
        <w:jc w:val="both"/>
      </w:pPr>
    </w:p>
    <w:p w:rsidR="004D462A" w:rsidRDefault="005E7BD6">
      <w:pPr>
        <w:numPr>
          <w:ilvl w:val="0"/>
          <w:numId w:val="1"/>
        </w:numPr>
        <w:spacing w:after="1"/>
        <w:jc w:val="both"/>
      </w:pPr>
      <w:r>
        <w:rPr>
          <w:b/>
        </w:rPr>
        <w:t xml:space="preserve">Svoris. 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 xml:space="preserve">Minimalus bendras karto ir lenktynininko svoris </w:t>
      </w:r>
      <w:r>
        <w:rPr>
          <w:b/>
        </w:rPr>
        <w:t xml:space="preserve">JUNIOR </w:t>
      </w:r>
      <w:r>
        <w:t>kategorijoje</w:t>
      </w:r>
      <w:r>
        <w:rPr>
          <w:b/>
        </w:rPr>
        <w:t xml:space="preserve"> </w:t>
      </w:r>
      <w:r>
        <w:t>– 130 kg.,</w:t>
      </w:r>
      <w:r>
        <w:rPr>
          <w:b/>
        </w:rPr>
        <w:t xml:space="preserve"> SENIOR</w:t>
      </w:r>
      <w:r>
        <w:t xml:space="preserve"> kategorijoje</w:t>
      </w:r>
      <w:r>
        <w:rPr>
          <w:b/>
        </w:rPr>
        <w:t xml:space="preserve"> </w:t>
      </w:r>
      <w:r>
        <w:t xml:space="preserve">– 150 kg., </w:t>
      </w:r>
      <w:r>
        <w:rPr>
          <w:b/>
        </w:rPr>
        <w:t>MASTER</w:t>
      </w:r>
      <w:r>
        <w:t xml:space="preserve"> kategorijoje</w:t>
      </w:r>
      <w:r>
        <w:rPr>
          <w:b/>
        </w:rPr>
        <w:t xml:space="preserve"> </w:t>
      </w:r>
      <w:r>
        <w:t xml:space="preserve">– 170 kg. </w:t>
      </w:r>
    </w:p>
    <w:p w:rsidR="004D462A" w:rsidRDefault="005E7BD6">
      <w:pPr>
        <w:numPr>
          <w:ilvl w:val="1"/>
          <w:numId w:val="1"/>
        </w:numPr>
        <w:ind w:hanging="587"/>
        <w:jc w:val="both"/>
        <w:rPr>
          <w:b/>
        </w:rPr>
      </w:pPr>
      <w:r>
        <w:rPr>
          <w:b/>
        </w:rPr>
        <w:t xml:space="preserve">Švininiai balastai turi būti pritvirtinti patikimai (tvirtina, tikrina ir sprendžia organizatorius). </w:t>
      </w:r>
    </w:p>
    <w:p w:rsidR="004D462A" w:rsidRDefault="005E7BD6">
      <w:pPr>
        <w:numPr>
          <w:ilvl w:val="1"/>
          <w:numId w:val="1"/>
        </w:numPr>
        <w:ind w:hanging="587"/>
        <w:jc w:val="both"/>
        <w:rPr>
          <w:b/>
        </w:rPr>
      </w:pPr>
      <w:r>
        <w:rPr>
          <w:b/>
        </w:rPr>
        <w:t>Švininiai balastai negali būti tvirtinami priekinėje kartingo dalyje.</w:t>
      </w:r>
    </w:p>
    <w:p w:rsidR="004D462A" w:rsidRDefault="004D462A">
      <w:pPr>
        <w:ind w:left="1281" w:firstLine="0"/>
        <w:jc w:val="both"/>
      </w:pPr>
    </w:p>
    <w:p w:rsidR="004D462A" w:rsidRDefault="005E7BD6">
      <w:pPr>
        <w:numPr>
          <w:ilvl w:val="0"/>
          <w:numId w:val="1"/>
        </w:numPr>
        <w:spacing w:after="1"/>
        <w:jc w:val="both"/>
      </w:pPr>
      <w:r>
        <w:rPr>
          <w:b/>
        </w:rPr>
        <w:t xml:space="preserve">Kita </w:t>
      </w:r>
    </w:p>
    <w:p w:rsidR="004D462A" w:rsidRDefault="005E7BD6">
      <w:pPr>
        <w:numPr>
          <w:ilvl w:val="1"/>
          <w:numId w:val="1"/>
        </w:numPr>
        <w:ind w:hanging="587"/>
        <w:jc w:val="both"/>
      </w:pPr>
      <w:r>
        <w:t>Bet kokie kiti reglam</w:t>
      </w:r>
      <w:r>
        <w:t xml:space="preserve">ente neaprašyti techniniai sprendimai yra draudžiami. </w:t>
      </w:r>
    </w:p>
    <w:p w:rsidR="004D462A" w:rsidRDefault="005E7BD6">
      <w:pPr>
        <w:numPr>
          <w:ilvl w:val="1"/>
          <w:numId w:val="1"/>
        </w:numPr>
        <w:spacing w:after="0"/>
        <w:ind w:hanging="587"/>
        <w:jc w:val="both"/>
      </w:pPr>
      <w:r>
        <w:t xml:space="preserve">Dėl techninių specifikacijų kilusius ginčus sprendžia organizatorius. Jeigu reikia, pirmumą turi originalo kalba parašytos techninės specifikacijos. </w:t>
      </w:r>
    </w:p>
    <w:p w:rsidR="004D462A" w:rsidRDefault="005E7BD6">
      <w:pPr>
        <w:numPr>
          <w:ilvl w:val="1"/>
          <w:numId w:val="1"/>
        </w:numPr>
        <w:spacing w:after="0"/>
        <w:ind w:hanging="587"/>
        <w:jc w:val="both"/>
      </w:pPr>
      <w:r>
        <w:t>Pretenduoti į sezono prizus gali sportininkai kurie</w:t>
      </w:r>
      <w:r>
        <w:t xml:space="preserve"> važiuoja tik su CRG Fs4 važiuokle, kuri įsigyta pas organizatorių.</w:t>
      </w:r>
    </w:p>
    <w:p w:rsidR="004D462A" w:rsidRDefault="005E7BD6">
      <w:pPr>
        <w:spacing w:after="160"/>
        <w:ind w:left="0" w:firstLine="0"/>
        <w:jc w:val="both"/>
      </w:pPr>
      <w:r>
        <w:t xml:space="preserve"> </w:t>
      </w:r>
    </w:p>
    <w:p w:rsidR="004D462A" w:rsidRDefault="005E7BD6">
      <w:pPr>
        <w:jc w:val="both"/>
      </w:pPr>
      <w:r>
        <w:t xml:space="preserve">Organizatorius  </w:t>
      </w:r>
    </w:p>
    <w:p w:rsidR="004D462A" w:rsidRDefault="005E7BD6">
      <w:pPr>
        <w:jc w:val="both"/>
        <w:rPr>
          <w:b/>
        </w:rPr>
      </w:pPr>
      <w:r>
        <w:rPr>
          <w:b/>
        </w:rPr>
        <w:t>VšĮ „Kartingo akademija“</w:t>
      </w:r>
    </w:p>
    <w:p w:rsidR="004D462A" w:rsidRDefault="005E7BD6">
      <w:pPr>
        <w:jc w:val="both"/>
      </w:pPr>
      <w:r>
        <w:t xml:space="preserve">Edvardas Grabliauskas </w:t>
      </w:r>
    </w:p>
    <w:p w:rsidR="004D462A" w:rsidRDefault="005E7BD6">
      <w:pPr>
        <w:jc w:val="both"/>
      </w:pPr>
      <w:r>
        <w:t>info@baltickartingacademy.lt</w:t>
      </w:r>
    </w:p>
    <w:p w:rsidR="004D462A" w:rsidRDefault="005E7BD6">
      <w:pPr>
        <w:jc w:val="both"/>
      </w:pPr>
      <w:r>
        <w:t xml:space="preserve">+370 675 77172 </w:t>
      </w:r>
    </w:p>
    <w:p w:rsidR="004D462A" w:rsidRDefault="005E7BD6">
      <w:pPr>
        <w:spacing w:after="0"/>
        <w:ind w:left="360" w:firstLine="0"/>
        <w:jc w:val="both"/>
      </w:pPr>
      <w:r>
        <w:t xml:space="preserve"> </w:t>
      </w:r>
    </w:p>
    <w:sectPr w:rsidR="004D462A">
      <w:headerReference w:type="default" r:id="rId10"/>
      <w:pgSz w:w="11900" w:h="16840"/>
      <w:pgMar w:top="1440" w:right="1080" w:bottom="1440" w:left="1080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BD6" w:rsidRDefault="005E7BD6">
      <w:pPr>
        <w:spacing w:after="0" w:line="240" w:lineRule="auto"/>
      </w:pPr>
      <w:r>
        <w:separator/>
      </w:r>
    </w:p>
  </w:endnote>
  <w:endnote w:type="continuationSeparator" w:id="0">
    <w:p w:rsidR="005E7BD6" w:rsidRDefault="005E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BD6" w:rsidRDefault="005E7BD6">
      <w:pPr>
        <w:spacing w:after="0" w:line="240" w:lineRule="auto"/>
      </w:pPr>
      <w:r>
        <w:separator/>
      </w:r>
    </w:p>
  </w:footnote>
  <w:footnote w:type="continuationSeparator" w:id="0">
    <w:p w:rsidR="005E7BD6" w:rsidRDefault="005E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2A" w:rsidRDefault="004D46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firstLine="0"/>
    </w:pPr>
  </w:p>
  <w:tbl>
    <w:tblPr>
      <w:tblStyle w:val="a"/>
      <w:tblW w:w="10573" w:type="dxa"/>
      <w:tblInd w:w="-41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732"/>
      <w:gridCol w:w="5841"/>
    </w:tblGrid>
    <w:tr w:rsidR="004D462A">
      <w:trPr>
        <w:trHeight w:val="1256"/>
      </w:trPr>
      <w:tc>
        <w:tcPr>
          <w:tcW w:w="4732" w:type="dxa"/>
        </w:tcPr>
        <w:p w:rsidR="004D462A" w:rsidRDefault="005E7B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/>
            <w:ind w:left="0" w:firstLine="0"/>
          </w:pPr>
          <w:r>
            <w:object w:dxaOrig="4440" w:dyaOrig="1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2pt;height:66pt" o:ole="">
                <v:imagedata r:id="rId1" o:title=""/>
              </v:shape>
              <o:OLEObject Type="Embed" ProgID="Paint.Picture" ShapeID="_x0000_i1025" DrawAspect="Content" ObjectID="_1710688244" r:id="rId2"/>
            </w:object>
          </w:r>
        </w:p>
      </w:tc>
      <w:tc>
        <w:tcPr>
          <w:tcW w:w="5841" w:type="dxa"/>
        </w:tcPr>
        <w:p w:rsidR="004D462A" w:rsidRDefault="005E7B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/>
            <w:ind w:left="0" w:firstLine="0"/>
            <w:jc w:val="right"/>
          </w:pPr>
          <w:r>
            <w:rPr>
              <w:noProof/>
            </w:rPr>
            <w:drawing>
              <wp:inline distT="0" distB="0" distL="0" distR="0">
                <wp:extent cx="3075228" cy="648266"/>
                <wp:effectExtent l="0" t="0" r="0" b="0"/>
                <wp:docPr id="2101" name="image2.png" descr="C:\Users\User\Documents\BKA Logo pack\RGB for internet\BKA main logo orang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User\Documents\BKA Logo pack\RGB for internet\BKA main logo orange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5228" cy="64826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D462A" w:rsidRDefault="004D46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70465"/>
    <w:multiLevelType w:val="multilevel"/>
    <w:tmpl w:val="6DA48BFA"/>
    <w:lvl w:ilvl="0">
      <w:start w:val="1"/>
      <w:numFmt w:val="decimal"/>
      <w:lvlText w:val="%1."/>
      <w:lvlJc w:val="left"/>
      <w:pPr>
        <w:ind w:left="410" w:hanging="41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1" w:hanging="128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 w:hanging="1789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 w:hanging="2509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 w:hanging="3229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 w:hanging="3949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 w:hanging="4669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 w:hanging="5389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 w:hanging="6109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2A"/>
    <w:rsid w:val="004D462A"/>
    <w:rsid w:val="005E7BD6"/>
    <w:rsid w:val="00D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96A556-771F-48FF-8DE8-7F63B634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3" w:line="259" w:lineRule="auto"/>
        <w:ind w:left="35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0D0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A8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D2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82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D2D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F8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+gx9Mm9ROWsEyXcBX394pOCXsg==">AMUW2mUfHsZskTUscjUTSPy18pquxcn54j5OJCPqZohPTEzOMNQh92sBEcuMXcS07IutVyQVJH4Mp/VMIBvUzph6ODdm7w8qsoe+WGmoARLaoZsrAnbAVp/PlUNgW6wPZwmvsjSeVgD1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2702</Words>
  <Characters>1541</Characters>
  <Application>Microsoft Office Word</Application>
  <DocSecurity>0</DocSecurity>
  <Lines>12</Lines>
  <Paragraphs>8</Paragraphs>
  <ScaleCrop>false</ScaleCrop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2022-04-05T15:24:00Z</dcterms:created>
  <dcterms:modified xsi:type="dcterms:W3CDTF">2022-04-05T15:24:00Z</dcterms:modified>
</cp:coreProperties>
</file>